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4C" w:rsidRDefault="0033304C" w:rsidP="0033304C"/>
    <w:tbl>
      <w:tblPr>
        <w:tblStyle w:val="TableGrid"/>
        <w:tblpPr w:leftFromText="180" w:rightFromText="180" w:horzAnchor="page" w:tblpX="2008" w:tblpY="1200"/>
        <w:tblW w:w="0" w:type="auto"/>
        <w:tblLook w:val="04A0"/>
      </w:tblPr>
      <w:tblGrid>
        <w:gridCol w:w="6606"/>
      </w:tblGrid>
      <w:tr w:rsidR="0033304C" w:rsidTr="00435855">
        <w:trPr>
          <w:trHeight w:val="7280"/>
        </w:trPr>
        <w:tc>
          <w:tcPr>
            <w:tcW w:w="6588" w:type="dxa"/>
          </w:tcPr>
          <w:p w:rsidR="0033304C" w:rsidRPr="00E22005" w:rsidRDefault="0033304C" w:rsidP="00080F83">
            <w:pPr>
              <w:jc w:val="center"/>
              <w:rPr>
                <w:rFonts w:ascii="Rockwell" w:hAnsi="Rockwell"/>
                <w:b/>
                <w:sz w:val="16"/>
                <w:szCs w:val="16"/>
              </w:rPr>
            </w:pPr>
            <w:r w:rsidRPr="00E22005">
              <w:rPr>
                <w:rFonts w:ascii="Rockwell" w:hAnsi="Rockwell"/>
                <w:b/>
                <w:noProof/>
                <w:sz w:val="16"/>
                <w:szCs w:val="16"/>
              </w:rPr>
              <w:drawing>
                <wp:anchor distT="0" distB="0" distL="114300" distR="114300" simplePos="0" relativeHeight="251661312" behindDoc="0" locked="0" layoutInCell="1" allowOverlap="1">
                  <wp:simplePos x="0" y="0"/>
                  <wp:positionH relativeFrom="column">
                    <wp:posOffset>3649980</wp:posOffset>
                  </wp:positionH>
                  <wp:positionV relativeFrom="paragraph">
                    <wp:posOffset>41910</wp:posOffset>
                  </wp:positionV>
                  <wp:extent cx="332105" cy="333375"/>
                  <wp:effectExtent l="19050" t="19050" r="10795"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2105" cy="333375"/>
                          </a:xfrm>
                          <a:prstGeom prst="rect">
                            <a:avLst/>
                          </a:prstGeom>
                          <a:solidFill>
                            <a:srgbClr val="FFFFFF"/>
                          </a:solidFill>
                          <a:ln w="9525">
                            <a:solidFill>
                              <a:srgbClr val="FFFFFF"/>
                            </a:solidFill>
                            <a:miter lim="800000"/>
                            <a:headEnd/>
                            <a:tailEnd/>
                          </a:ln>
                        </pic:spPr>
                      </pic:pic>
                    </a:graphicData>
                  </a:graphic>
                </wp:anchor>
              </w:drawing>
            </w:r>
            <w:r w:rsidR="000A17DE" w:rsidRPr="000A17DE">
              <w:rPr>
                <w:rFonts w:ascii="Rockwell" w:hAnsi="Rockwell" w:cstheme="minorBidi"/>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3.7pt;width:25.1pt;height:25.1pt;z-index:251660288;visibility:visible;mso-wrap-edited:f;mso-position-horizontal-relative:text;mso-position-vertical-relative:text">
                  <v:imagedata r:id="rId6" o:title=""/>
                </v:shape>
                <o:OLEObject Type="Embed" ProgID="Word.Picture.8" ShapeID="_x0000_s1026" DrawAspect="Content" ObjectID="_1769926644" r:id="rId7"/>
              </w:pict>
            </w:r>
            <w:r w:rsidRPr="00E22005">
              <w:rPr>
                <w:rFonts w:ascii="Rockwell" w:hAnsi="Rockwell"/>
                <w:b/>
                <w:sz w:val="16"/>
                <w:szCs w:val="16"/>
              </w:rPr>
              <w:t>Government of Pakistan</w:t>
            </w:r>
          </w:p>
          <w:p w:rsidR="0033304C" w:rsidRPr="00E22005" w:rsidRDefault="0033304C" w:rsidP="00080F83">
            <w:pPr>
              <w:pStyle w:val="Heading2"/>
              <w:outlineLvl w:val="1"/>
              <w:rPr>
                <w:rFonts w:ascii="Rockwell" w:hAnsi="Rockwell"/>
                <w:sz w:val="16"/>
                <w:szCs w:val="16"/>
              </w:rPr>
            </w:pPr>
            <w:r w:rsidRPr="00E22005">
              <w:rPr>
                <w:rFonts w:ascii="Rockwell" w:hAnsi="Rockwell"/>
                <w:sz w:val="16"/>
                <w:szCs w:val="16"/>
              </w:rPr>
              <w:t>Ministry of Science &amp; Technology</w:t>
            </w:r>
          </w:p>
          <w:p w:rsidR="0033304C" w:rsidRPr="00E22005" w:rsidRDefault="0033304C" w:rsidP="00080F83">
            <w:pPr>
              <w:pStyle w:val="Heading2"/>
              <w:outlineLvl w:val="1"/>
              <w:rPr>
                <w:rFonts w:ascii="Rockwell" w:hAnsi="Rockwell"/>
                <w:sz w:val="16"/>
                <w:szCs w:val="16"/>
              </w:rPr>
            </w:pPr>
            <w:r w:rsidRPr="00E22005">
              <w:rPr>
                <w:rFonts w:ascii="Rockwell" w:hAnsi="Rockwell"/>
                <w:sz w:val="16"/>
                <w:szCs w:val="16"/>
              </w:rPr>
              <w:t>National Institute of Electronics (NIE)</w:t>
            </w:r>
          </w:p>
          <w:p w:rsidR="0033304C" w:rsidRPr="00E22005" w:rsidRDefault="0033304C" w:rsidP="00080F83">
            <w:pPr>
              <w:rPr>
                <w:rFonts w:ascii="Rockwell" w:hAnsi="Rockwell"/>
                <w:sz w:val="16"/>
                <w:szCs w:val="16"/>
              </w:rPr>
            </w:pPr>
          </w:p>
          <w:p w:rsidR="0033304C" w:rsidRDefault="0033304C" w:rsidP="00080F83">
            <w:pPr>
              <w:jc w:val="center"/>
              <w:rPr>
                <w:rFonts w:ascii="Rockwell" w:hAnsi="Rockwell"/>
                <w:b/>
                <w:bCs/>
                <w:sz w:val="16"/>
                <w:szCs w:val="16"/>
                <w:u w:val="single"/>
              </w:rPr>
            </w:pPr>
            <w:r w:rsidRPr="00E22005">
              <w:rPr>
                <w:rFonts w:ascii="Rockwell" w:hAnsi="Rockwell"/>
                <w:b/>
                <w:bCs/>
                <w:sz w:val="16"/>
                <w:szCs w:val="16"/>
                <w:u w:val="single"/>
              </w:rPr>
              <w:t xml:space="preserve">TENDER NOTICE  </w:t>
            </w:r>
          </w:p>
          <w:p w:rsidR="0027792A" w:rsidRPr="00E22005" w:rsidRDefault="0027792A" w:rsidP="00080F83">
            <w:pPr>
              <w:jc w:val="center"/>
              <w:rPr>
                <w:rFonts w:ascii="Rockwell" w:hAnsi="Rockwell"/>
                <w:b/>
                <w:bCs/>
                <w:sz w:val="16"/>
                <w:szCs w:val="16"/>
                <w:u w:val="single"/>
              </w:rPr>
            </w:pPr>
          </w:p>
          <w:p w:rsidR="0033304C" w:rsidRPr="000E794F" w:rsidRDefault="00DA756B" w:rsidP="0033304C">
            <w:pPr>
              <w:tabs>
                <w:tab w:val="left" w:pos="6102"/>
              </w:tabs>
              <w:jc w:val="center"/>
              <w:rPr>
                <w:rFonts w:ascii="Rockwell" w:hAnsi="Rockwell"/>
                <w:b/>
                <w:bCs/>
                <w:sz w:val="8"/>
                <w:szCs w:val="16"/>
                <w:u w:val="single"/>
              </w:rPr>
            </w:pPr>
            <w:r w:rsidRPr="000E794F">
              <w:rPr>
                <w:rFonts w:ascii="Rockwell" w:hAnsi="Rockwell"/>
                <w:b/>
                <w:bCs/>
                <w:sz w:val="16"/>
                <w:szCs w:val="16"/>
                <w:u w:val="single"/>
              </w:rPr>
              <w:t xml:space="preserve">INVITATION TO BID </w:t>
            </w:r>
            <w:r w:rsidR="00F818B2" w:rsidRPr="000E794F">
              <w:rPr>
                <w:rFonts w:ascii="Rockwell" w:hAnsi="Rockwell" w:cs="Arial"/>
                <w:b/>
                <w:sz w:val="18"/>
                <w:szCs w:val="24"/>
                <w:u w:val="single"/>
              </w:rPr>
              <w:t xml:space="preserve"> </w:t>
            </w:r>
            <w:r w:rsidRPr="000E794F">
              <w:rPr>
                <w:rFonts w:ascii="Rockwell" w:hAnsi="Rockwell" w:cs="Arial"/>
                <w:szCs w:val="24"/>
                <w:u w:val="single"/>
              </w:rPr>
              <w:t xml:space="preserve"> </w:t>
            </w:r>
            <w:r w:rsidRPr="000E794F">
              <w:rPr>
                <w:rFonts w:ascii="Rockwell" w:hAnsi="Rockwell" w:cs="Arial"/>
                <w:b/>
                <w:sz w:val="14"/>
                <w:u w:val="single"/>
              </w:rPr>
              <w:t xml:space="preserve">   </w:t>
            </w:r>
            <w:r w:rsidRPr="000E794F">
              <w:rPr>
                <w:rFonts w:ascii="Rockwell" w:hAnsi="Rockwell" w:cs="Arial"/>
                <w:b/>
                <w:sz w:val="8"/>
                <w:szCs w:val="16"/>
                <w:u w:val="single"/>
              </w:rPr>
              <w:t xml:space="preserve">  </w:t>
            </w:r>
          </w:p>
          <w:p w:rsidR="0033304C" w:rsidRPr="00DA756B" w:rsidRDefault="0033304C" w:rsidP="0033304C">
            <w:pPr>
              <w:tabs>
                <w:tab w:val="left" w:pos="6102"/>
              </w:tabs>
              <w:jc w:val="center"/>
              <w:rPr>
                <w:rFonts w:ascii="Rockwell" w:hAnsi="Rockwell"/>
                <w:b/>
                <w:bCs/>
                <w:sz w:val="14"/>
                <w:szCs w:val="16"/>
                <w:u w:val="single"/>
              </w:rPr>
            </w:pPr>
          </w:p>
          <w:p w:rsidR="0033304C" w:rsidRPr="00272374" w:rsidRDefault="0033304C" w:rsidP="00080F83">
            <w:pPr>
              <w:pStyle w:val="ListParagraph"/>
              <w:numPr>
                <w:ilvl w:val="0"/>
                <w:numId w:val="1"/>
              </w:numPr>
              <w:ind w:left="180" w:right="-18" w:hanging="180"/>
              <w:jc w:val="both"/>
              <w:rPr>
                <w:rFonts w:ascii="Rockwell" w:hAnsi="Rockwell"/>
                <w:bCs/>
                <w:sz w:val="16"/>
                <w:szCs w:val="16"/>
              </w:rPr>
            </w:pPr>
            <w:r w:rsidRPr="00272374">
              <w:rPr>
                <w:rFonts w:ascii="Rockwell" w:hAnsi="Rockwell"/>
                <w:bCs/>
                <w:sz w:val="16"/>
                <w:szCs w:val="16"/>
              </w:rPr>
              <w:t xml:space="preserve">National Institute of Electronics Islamabad (NIE), an autonomous </w:t>
            </w:r>
            <w:r w:rsidRPr="00272374">
              <w:rPr>
                <w:rFonts w:ascii="Rockwell" w:hAnsi="Rockwell"/>
                <w:sz w:val="16"/>
                <w:szCs w:val="16"/>
                <w:lang w:val="en-GB"/>
              </w:rPr>
              <w:t xml:space="preserve">Research &amp; Development (R&amp;D) Organization in </w:t>
            </w:r>
            <w:r w:rsidR="006C01C9" w:rsidRPr="00272374">
              <w:rPr>
                <w:rFonts w:ascii="Rockwell" w:hAnsi="Rockwell"/>
                <w:sz w:val="16"/>
                <w:szCs w:val="16"/>
                <w:lang w:val="en-GB"/>
              </w:rPr>
              <w:t>E</w:t>
            </w:r>
            <w:r w:rsidRPr="00272374">
              <w:rPr>
                <w:rFonts w:ascii="Rockwell" w:hAnsi="Rockwell"/>
                <w:sz w:val="16"/>
                <w:szCs w:val="16"/>
                <w:lang w:val="en-GB"/>
              </w:rPr>
              <w:t>lectronics, working under the administrative control of Ministry of Science and Technology</w:t>
            </w:r>
            <w:r w:rsidRPr="00272374">
              <w:rPr>
                <w:rFonts w:ascii="Rockwell" w:hAnsi="Rockwell"/>
                <w:bCs/>
                <w:sz w:val="16"/>
                <w:szCs w:val="16"/>
              </w:rPr>
              <w:t xml:space="preserve"> Islamabad, invites sealed bids from the original authorized distributors/ suppliers/ contractors etc. registered with Income Tax and Sales Tax Departments</w:t>
            </w:r>
            <w:r w:rsidR="005768E9">
              <w:rPr>
                <w:rFonts w:ascii="Rockwell" w:hAnsi="Rockwell"/>
                <w:bCs/>
                <w:sz w:val="16"/>
                <w:szCs w:val="16"/>
              </w:rPr>
              <w:t xml:space="preserve"> and </w:t>
            </w:r>
            <w:r w:rsidR="00553D84">
              <w:rPr>
                <w:rFonts w:ascii="Rockwell" w:hAnsi="Rockwell"/>
                <w:b/>
                <w:sz w:val="16"/>
                <w:szCs w:val="16"/>
              </w:rPr>
              <w:t>PPRA, E-PADS</w:t>
            </w:r>
            <w:r w:rsidR="005768E9" w:rsidRPr="00272374">
              <w:rPr>
                <w:rFonts w:ascii="Rockwell" w:hAnsi="Rockwell"/>
                <w:bCs/>
                <w:sz w:val="16"/>
                <w:szCs w:val="16"/>
              </w:rPr>
              <w:t xml:space="preserve"> </w:t>
            </w:r>
            <w:r w:rsidRPr="00272374">
              <w:rPr>
                <w:rFonts w:ascii="Rockwell" w:hAnsi="Rockwell"/>
                <w:bCs/>
                <w:sz w:val="16"/>
                <w:szCs w:val="16"/>
              </w:rPr>
              <w:t xml:space="preserve">for the following tender out of </w:t>
            </w:r>
            <w:r w:rsidR="00272374" w:rsidRPr="00272374">
              <w:rPr>
                <w:rFonts w:ascii="Rockwell" w:hAnsi="Rockwell"/>
                <w:bCs/>
                <w:sz w:val="16"/>
                <w:szCs w:val="16"/>
              </w:rPr>
              <w:t xml:space="preserve">PSDP Project </w:t>
            </w:r>
            <w:r w:rsidR="00606D91">
              <w:rPr>
                <w:rFonts w:ascii="Rockwell" w:hAnsi="Rockwell"/>
                <w:b/>
                <w:bCs/>
                <w:sz w:val="16"/>
                <w:szCs w:val="16"/>
              </w:rPr>
              <w:t>“Up-gradation of PCB Facility”.</w:t>
            </w:r>
            <w:r w:rsidR="00272374" w:rsidRPr="00272374">
              <w:rPr>
                <w:rFonts w:ascii="Rockwell" w:hAnsi="Rockwell"/>
                <w:b/>
                <w:bCs/>
                <w:sz w:val="16"/>
                <w:szCs w:val="16"/>
              </w:rPr>
              <w:t xml:space="preserve"> </w:t>
            </w:r>
          </w:p>
          <w:p w:rsidR="00272374" w:rsidRPr="00272374" w:rsidRDefault="00272374" w:rsidP="0098490C">
            <w:pPr>
              <w:pStyle w:val="ListParagraph"/>
              <w:ind w:left="180" w:right="-18"/>
              <w:jc w:val="both"/>
              <w:rPr>
                <w:rFonts w:ascii="Rockwell" w:hAnsi="Rockwell"/>
                <w:bCs/>
                <w:sz w:val="16"/>
                <w:szCs w:val="16"/>
              </w:rPr>
            </w:pPr>
          </w:p>
          <w:tbl>
            <w:tblPr>
              <w:tblStyle w:val="TableGrid"/>
              <w:tblW w:w="6295" w:type="dxa"/>
              <w:tblInd w:w="85" w:type="dxa"/>
              <w:tblLook w:val="04A0"/>
            </w:tblPr>
            <w:tblGrid>
              <w:gridCol w:w="1530"/>
              <w:gridCol w:w="3685"/>
              <w:gridCol w:w="1080"/>
            </w:tblGrid>
            <w:tr w:rsidR="0033304C" w:rsidRPr="00E22005" w:rsidTr="005B4408">
              <w:trPr>
                <w:trHeight w:val="383"/>
              </w:trPr>
              <w:tc>
                <w:tcPr>
                  <w:tcW w:w="1530" w:type="dxa"/>
                </w:tcPr>
                <w:p w:rsidR="0033304C" w:rsidRPr="00E22005" w:rsidRDefault="0033304C" w:rsidP="00791AB5">
                  <w:pPr>
                    <w:pStyle w:val="ListParagraph"/>
                    <w:framePr w:hSpace="180" w:wrap="around" w:hAnchor="page" w:x="2008" w:y="1200"/>
                    <w:ind w:left="0" w:right="-18"/>
                    <w:jc w:val="both"/>
                    <w:rPr>
                      <w:rFonts w:ascii="Rockwell" w:hAnsi="Rockwell"/>
                      <w:b/>
                      <w:bCs/>
                      <w:sz w:val="16"/>
                      <w:szCs w:val="16"/>
                    </w:rPr>
                  </w:pPr>
                  <w:r w:rsidRPr="00E22005">
                    <w:rPr>
                      <w:rFonts w:ascii="Rockwell" w:hAnsi="Rockwell"/>
                      <w:b/>
                      <w:bCs/>
                      <w:sz w:val="16"/>
                      <w:szCs w:val="16"/>
                    </w:rPr>
                    <w:t xml:space="preserve">Tender No. </w:t>
                  </w:r>
                </w:p>
              </w:tc>
              <w:tc>
                <w:tcPr>
                  <w:tcW w:w="3685" w:type="dxa"/>
                </w:tcPr>
                <w:p w:rsidR="0033304C" w:rsidRPr="00E22005" w:rsidRDefault="0033304C" w:rsidP="00791AB5">
                  <w:pPr>
                    <w:pStyle w:val="ListParagraph"/>
                    <w:framePr w:hSpace="180" w:wrap="around" w:hAnchor="page" w:x="2008" w:y="1200"/>
                    <w:ind w:left="0" w:right="-18"/>
                    <w:jc w:val="both"/>
                    <w:rPr>
                      <w:rFonts w:ascii="Rockwell" w:hAnsi="Rockwell"/>
                      <w:b/>
                      <w:bCs/>
                      <w:sz w:val="16"/>
                      <w:szCs w:val="16"/>
                    </w:rPr>
                  </w:pPr>
                  <w:r w:rsidRPr="00E22005">
                    <w:rPr>
                      <w:rFonts w:ascii="Rockwell" w:hAnsi="Rockwell"/>
                      <w:b/>
                      <w:bCs/>
                      <w:sz w:val="16"/>
                      <w:szCs w:val="16"/>
                    </w:rPr>
                    <w:t xml:space="preserve">Description </w:t>
                  </w:r>
                </w:p>
              </w:tc>
              <w:tc>
                <w:tcPr>
                  <w:tcW w:w="1080" w:type="dxa"/>
                </w:tcPr>
                <w:p w:rsidR="0033304C" w:rsidRPr="00E22005" w:rsidRDefault="0033304C" w:rsidP="00791AB5">
                  <w:pPr>
                    <w:pStyle w:val="ListParagraph"/>
                    <w:framePr w:hSpace="180" w:wrap="around" w:hAnchor="page" w:x="2008" w:y="1200"/>
                    <w:ind w:left="0" w:right="-18"/>
                    <w:jc w:val="center"/>
                    <w:rPr>
                      <w:rFonts w:ascii="Rockwell" w:hAnsi="Rockwell"/>
                      <w:b/>
                      <w:bCs/>
                      <w:sz w:val="16"/>
                      <w:szCs w:val="16"/>
                    </w:rPr>
                  </w:pPr>
                  <w:r w:rsidRPr="00E22005">
                    <w:rPr>
                      <w:rFonts w:ascii="Rockwell" w:hAnsi="Rockwell"/>
                      <w:b/>
                      <w:bCs/>
                      <w:sz w:val="16"/>
                      <w:szCs w:val="16"/>
                    </w:rPr>
                    <w:t>Tender Fee</w:t>
                  </w:r>
                </w:p>
              </w:tc>
            </w:tr>
            <w:tr w:rsidR="005B4408" w:rsidRPr="00E22005" w:rsidTr="005B4408">
              <w:tc>
                <w:tcPr>
                  <w:tcW w:w="1530" w:type="dxa"/>
                </w:tcPr>
                <w:p w:rsidR="005B4408" w:rsidRPr="005B4408" w:rsidRDefault="001F6DBF" w:rsidP="00791AB5">
                  <w:pPr>
                    <w:framePr w:hSpace="180" w:wrap="around" w:hAnchor="page" w:x="2008" w:y="1200"/>
                    <w:jc w:val="both"/>
                    <w:rPr>
                      <w:rFonts w:ascii="Rockwell" w:hAnsi="Rockwell"/>
                      <w:b/>
                      <w:bCs/>
                      <w:sz w:val="16"/>
                      <w:szCs w:val="16"/>
                    </w:rPr>
                  </w:pPr>
                  <w:r>
                    <w:rPr>
                      <w:rFonts w:ascii="Rockwell" w:hAnsi="Rockwell"/>
                      <w:b/>
                      <w:bCs/>
                      <w:sz w:val="16"/>
                      <w:szCs w:val="16"/>
                    </w:rPr>
                    <w:t>0</w:t>
                  </w:r>
                  <w:r w:rsidR="00606D91">
                    <w:rPr>
                      <w:rFonts w:ascii="Rockwell" w:hAnsi="Rockwell"/>
                      <w:b/>
                      <w:bCs/>
                      <w:sz w:val="16"/>
                      <w:szCs w:val="16"/>
                    </w:rPr>
                    <w:t>3</w:t>
                  </w:r>
                  <w:r w:rsidR="005B4408" w:rsidRPr="005B4408">
                    <w:rPr>
                      <w:rFonts w:ascii="Rockwell" w:hAnsi="Rockwell"/>
                      <w:b/>
                      <w:bCs/>
                      <w:sz w:val="16"/>
                      <w:szCs w:val="16"/>
                    </w:rPr>
                    <w:t>/202</w:t>
                  </w:r>
                  <w:r w:rsidR="00272374">
                    <w:rPr>
                      <w:rFonts w:ascii="Rockwell" w:hAnsi="Rockwell"/>
                      <w:b/>
                      <w:bCs/>
                      <w:sz w:val="16"/>
                      <w:szCs w:val="16"/>
                    </w:rPr>
                    <w:t>3-24</w:t>
                  </w:r>
                  <w:r w:rsidR="005B4408" w:rsidRPr="005B4408">
                    <w:rPr>
                      <w:rFonts w:ascii="Rockwell" w:hAnsi="Rockwell"/>
                      <w:b/>
                      <w:bCs/>
                      <w:sz w:val="16"/>
                      <w:szCs w:val="16"/>
                    </w:rPr>
                    <w:t xml:space="preserve">/NIE </w:t>
                  </w:r>
                </w:p>
              </w:tc>
              <w:tc>
                <w:tcPr>
                  <w:tcW w:w="3685" w:type="dxa"/>
                </w:tcPr>
                <w:p w:rsidR="005B4408" w:rsidRPr="005B4408" w:rsidRDefault="00606D91" w:rsidP="00791AB5">
                  <w:pPr>
                    <w:framePr w:hSpace="180" w:wrap="around" w:hAnchor="page" w:x="2008" w:y="1200"/>
                    <w:jc w:val="both"/>
                    <w:rPr>
                      <w:rFonts w:ascii="Rockwell" w:hAnsi="Rockwell" w:cs="Arial"/>
                      <w:b/>
                      <w:sz w:val="16"/>
                      <w:szCs w:val="16"/>
                    </w:rPr>
                  </w:pPr>
                  <w:r>
                    <w:rPr>
                      <w:rFonts w:ascii="Rockwell" w:eastAsia="Rockwell" w:hAnsi="Rockwell"/>
                      <w:b/>
                      <w:sz w:val="16"/>
                      <w:szCs w:val="16"/>
                    </w:rPr>
                    <w:t xml:space="preserve">Repair, Maintenance and Partitioning Work  for PCB </w:t>
                  </w:r>
                  <w:r w:rsidR="00272374">
                    <w:rPr>
                      <w:rFonts w:ascii="Rockwell" w:eastAsia="Rockwell" w:hAnsi="Rockwell"/>
                      <w:b/>
                      <w:sz w:val="16"/>
                      <w:szCs w:val="16"/>
                    </w:rPr>
                    <w:t>Lab</w:t>
                  </w:r>
                </w:p>
              </w:tc>
              <w:tc>
                <w:tcPr>
                  <w:tcW w:w="1080" w:type="dxa"/>
                </w:tcPr>
                <w:p w:rsidR="005B4408" w:rsidRPr="00E22005" w:rsidRDefault="005B4408" w:rsidP="00791AB5">
                  <w:pPr>
                    <w:pStyle w:val="ListParagraph"/>
                    <w:framePr w:hSpace="180" w:wrap="around" w:hAnchor="page" w:x="2008" w:y="1200"/>
                    <w:ind w:left="0" w:right="-18"/>
                    <w:jc w:val="both"/>
                    <w:rPr>
                      <w:rFonts w:ascii="Rockwell" w:hAnsi="Rockwell"/>
                      <w:b/>
                      <w:bCs/>
                      <w:sz w:val="16"/>
                      <w:szCs w:val="16"/>
                    </w:rPr>
                  </w:pPr>
                  <w:r w:rsidRPr="00E22005">
                    <w:rPr>
                      <w:rFonts w:ascii="Rockwell" w:hAnsi="Rockwell"/>
                      <w:b/>
                      <w:bCs/>
                      <w:sz w:val="16"/>
                      <w:szCs w:val="16"/>
                    </w:rPr>
                    <w:t xml:space="preserve">Rs. 1,000/- </w:t>
                  </w:r>
                </w:p>
                <w:p w:rsidR="005B4408" w:rsidRPr="00E22005" w:rsidRDefault="005B4408" w:rsidP="00791AB5">
                  <w:pPr>
                    <w:pStyle w:val="ListParagraph"/>
                    <w:framePr w:hSpace="180" w:wrap="around" w:hAnchor="page" w:x="2008" w:y="1200"/>
                    <w:ind w:left="0" w:right="-18"/>
                    <w:jc w:val="both"/>
                    <w:rPr>
                      <w:rFonts w:ascii="Rockwell" w:hAnsi="Rockwell"/>
                      <w:b/>
                      <w:bCs/>
                      <w:sz w:val="16"/>
                      <w:szCs w:val="16"/>
                    </w:rPr>
                  </w:pPr>
                </w:p>
              </w:tc>
            </w:tr>
          </w:tbl>
          <w:p w:rsidR="0033304C" w:rsidRPr="00E22005" w:rsidRDefault="0033304C" w:rsidP="006C01C9">
            <w:pPr>
              <w:pStyle w:val="ListParagraph"/>
              <w:ind w:left="180" w:right="-18"/>
              <w:jc w:val="both"/>
              <w:rPr>
                <w:rFonts w:ascii="Rockwell" w:hAnsi="Rockwell"/>
                <w:sz w:val="16"/>
                <w:szCs w:val="16"/>
                <w:lang w:val="en-GB"/>
              </w:rPr>
            </w:pPr>
            <w:r w:rsidRPr="00E22005">
              <w:rPr>
                <w:rFonts w:ascii="Rockwell" w:hAnsi="Rockwell"/>
                <w:bCs/>
                <w:sz w:val="16"/>
                <w:szCs w:val="16"/>
              </w:rPr>
              <w:t xml:space="preserve">  </w:t>
            </w:r>
          </w:p>
          <w:p w:rsidR="0033304C" w:rsidRPr="00E22005" w:rsidRDefault="0033304C" w:rsidP="0033304C">
            <w:pPr>
              <w:pStyle w:val="ListParagraph"/>
              <w:numPr>
                <w:ilvl w:val="0"/>
                <w:numId w:val="1"/>
              </w:numPr>
              <w:ind w:left="180" w:hanging="180"/>
              <w:jc w:val="both"/>
              <w:rPr>
                <w:rFonts w:ascii="Rockwell" w:hAnsi="Rockwell"/>
                <w:sz w:val="16"/>
                <w:szCs w:val="16"/>
                <w:lang w:val="en-GB"/>
              </w:rPr>
            </w:pPr>
            <w:r w:rsidRPr="00E22005">
              <w:rPr>
                <w:rFonts w:ascii="Rockwell" w:hAnsi="Rockwell"/>
                <w:bCs/>
                <w:sz w:val="16"/>
                <w:szCs w:val="16"/>
              </w:rPr>
              <w:t>Bidding documents, which are containing detailed terms and condition, method of procurement, procedure for submission of bids, bids security, bid validity, opening of bids, evaluation criteria, clarification/ rejection of bids, performance guarantee etc. are available for the interested bidders at Deputy Director Procurement, Room No.</w:t>
            </w:r>
            <w:r w:rsidR="00272374">
              <w:rPr>
                <w:rFonts w:ascii="Rockwell" w:hAnsi="Rockwell"/>
                <w:bCs/>
                <w:sz w:val="16"/>
                <w:szCs w:val="16"/>
              </w:rPr>
              <w:t>E-14, 2</w:t>
            </w:r>
            <w:r w:rsidR="00272374" w:rsidRPr="00272374">
              <w:rPr>
                <w:rFonts w:ascii="Rockwell" w:hAnsi="Rockwell"/>
                <w:bCs/>
                <w:sz w:val="16"/>
                <w:szCs w:val="16"/>
                <w:vertAlign w:val="superscript"/>
              </w:rPr>
              <w:t>nd</w:t>
            </w:r>
            <w:r w:rsidR="00272374">
              <w:rPr>
                <w:rFonts w:ascii="Rockwell" w:hAnsi="Rockwell"/>
                <w:bCs/>
                <w:sz w:val="16"/>
                <w:szCs w:val="16"/>
              </w:rPr>
              <w:t xml:space="preserve"> Floor</w:t>
            </w:r>
            <w:r w:rsidRPr="00E22005">
              <w:rPr>
                <w:rFonts w:ascii="Rockwell" w:hAnsi="Rockwell"/>
                <w:bCs/>
                <w:sz w:val="16"/>
                <w:szCs w:val="16"/>
              </w:rPr>
              <w:t xml:space="preserve">, NIE Main Building, Islamabad. Price of the bidding documents is </w:t>
            </w:r>
            <w:r w:rsidRPr="00E22005">
              <w:rPr>
                <w:rFonts w:ascii="Rockwell" w:hAnsi="Rockwell"/>
                <w:b/>
                <w:bCs/>
                <w:sz w:val="16"/>
                <w:szCs w:val="16"/>
              </w:rPr>
              <w:t xml:space="preserve">Rs. 1,000/- </w:t>
            </w:r>
            <w:r w:rsidR="00435855" w:rsidRPr="00E22005">
              <w:rPr>
                <w:rFonts w:ascii="Rockwell" w:hAnsi="Rockwell"/>
                <w:bCs/>
                <w:sz w:val="16"/>
                <w:szCs w:val="16"/>
              </w:rPr>
              <w:t xml:space="preserve">of </w:t>
            </w:r>
            <w:r w:rsidR="00435855">
              <w:rPr>
                <w:rFonts w:ascii="Rockwell" w:hAnsi="Rockwell"/>
                <w:bCs/>
                <w:sz w:val="16"/>
                <w:szCs w:val="16"/>
              </w:rPr>
              <w:t>tender</w:t>
            </w:r>
            <w:r w:rsidRPr="00E22005">
              <w:rPr>
                <w:rFonts w:ascii="Rockwell" w:hAnsi="Rockwell"/>
                <w:bCs/>
                <w:sz w:val="16"/>
                <w:szCs w:val="16"/>
              </w:rPr>
              <w:t xml:space="preserve"> (Non-refundable) in shape of bank draft/ pay order in favor of DG NIE, Islamabad.  The request of the tender documents must be submitted on proper letterhead of the firm whereas bidding documents can be downloaded from NIE’s website (</w:t>
            </w:r>
            <w:hyperlink r:id="rId8" w:history="1">
              <w:r w:rsidRPr="00E22005">
                <w:rPr>
                  <w:rStyle w:val="Hyperlink"/>
                  <w:rFonts w:ascii="Rockwell" w:hAnsi="Rockwell"/>
                  <w:b/>
                  <w:noProof/>
                  <w:sz w:val="16"/>
                  <w:szCs w:val="16"/>
                </w:rPr>
                <w:t>www.nie.gov.pk</w:t>
              </w:r>
            </w:hyperlink>
            <w:r w:rsidRPr="00E22005">
              <w:rPr>
                <w:rFonts w:ascii="Rockwell" w:hAnsi="Rockwell"/>
                <w:sz w:val="16"/>
                <w:szCs w:val="16"/>
              </w:rPr>
              <w:t xml:space="preserve">) free of cost for reference purpose only. </w:t>
            </w:r>
          </w:p>
          <w:p w:rsidR="0033304C" w:rsidRPr="00E22005" w:rsidRDefault="0033304C" w:rsidP="00080F83">
            <w:pPr>
              <w:pStyle w:val="ListParagraph"/>
              <w:rPr>
                <w:rFonts w:ascii="Rockwell" w:hAnsi="Rockwell"/>
                <w:bCs/>
                <w:sz w:val="16"/>
                <w:szCs w:val="16"/>
              </w:rPr>
            </w:pPr>
          </w:p>
          <w:p w:rsidR="0033304C" w:rsidRPr="007043CE" w:rsidRDefault="0033304C" w:rsidP="0033304C">
            <w:pPr>
              <w:pStyle w:val="ListParagraph"/>
              <w:numPr>
                <w:ilvl w:val="0"/>
                <w:numId w:val="1"/>
              </w:numPr>
              <w:ind w:left="180" w:hanging="180"/>
              <w:jc w:val="both"/>
              <w:rPr>
                <w:rFonts w:ascii="Rockwell" w:hAnsi="Rockwell"/>
                <w:sz w:val="16"/>
                <w:szCs w:val="16"/>
                <w:lang w:val="en-GB"/>
              </w:rPr>
            </w:pPr>
            <w:r w:rsidRPr="00E22005">
              <w:rPr>
                <w:rFonts w:ascii="Rockwell" w:hAnsi="Rockwell"/>
                <w:bCs/>
                <w:sz w:val="16"/>
                <w:szCs w:val="16"/>
              </w:rPr>
              <w:t xml:space="preserve">The bids, prepared in accordance with the instructions in the bidding documents, must reach at Deputy Director Procurement, Room No. </w:t>
            </w:r>
            <w:r w:rsidR="0098490C">
              <w:rPr>
                <w:rFonts w:ascii="Rockwell" w:hAnsi="Rockwell"/>
                <w:bCs/>
                <w:sz w:val="16"/>
                <w:szCs w:val="16"/>
              </w:rPr>
              <w:t>E-14, 2</w:t>
            </w:r>
            <w:r w:rsidR="0098490C" w:rsidRPr="0098490C">
              <w:rPr>
                <w:rFonts w:ascii="Rockwell" w:hAnsi="Rockwell"/>
                <w:bCs/>
                <w:sz w:val="16"/>
                <w:szCs w:val="16"/>
                <w:vertAlign w:val="superscript"/>
              </w:rPr>
              <w:t>nd</w:t>
            </w:r>
            <w:r w:rsidR="0098490C">
              <w:rPr>
                <w:rFonts w:ascii="Rockwell" w:hAnsi="Rockwell"/>
                <w:bCs/>
                <w:sz w:val="16"/>
                <w:szCs w:val="16"/>
              </w:rPr>
              <w:t xml:space="preserve"> Floor</w:t>
            </w:r>
            <w:r w:rsidRPr="00E22005">
              <w:rPr>
                <w:rFonts w:ascii="Rockwell" w:hAnsi="Rockwell"/>
                <w:bCs/>
                <w:sz w:val="16"/>
                <w:szCs w:val="16"/>
              </w:rPr>
              <w:t xml:space="preserve">, Main Building,  National Institute of Electronics, Plot No. 17, Sector H-9, Islamabad on or before  </w:t>
            </w:r>
            <w:r w:rsidR="00606D91">
              <w:rPr>
                <w:rFonts w:ascii="Rockwell" w:hAnsi="Rockwell"/>
                <w:b/>
                <w:bCs/>
                <w:sz w:val="16"/>
                <w:szCs w:val="16"/>
                <w:u w:val="single"/>
              </w:rPr>
              <w:t xml:space="preserve"> March</w:t>
            </w:r>
            <w:r w:rsidR="00791AB5">
              <w:rPr>
                <w:rFonts w:ascii="Rockwell" w:hAnsi="Rockwell"/>
                <w:b/>
                <w:bCs/>
                <w:sz w:val="16"/>
                <w:szCs w:val="16"/>
                <w:u w:val="single"/>
              </w:rPr>
              <w:t xml:space="preserve"> 08</w:t>
            </w:r>
            <w:r w:rsidR="000343F0">
              <w:rPr>
                <w:rFonts w:ascii="Rockwell" w:hAnsi="Rockwell"/>
                <w:b/>
                <w:bCs/>
                <w:sz w:val="16"/>
                <w:szCs w:val="16"/>
                <w:u w:val="single"/>
              </w:rPr>
              <w:t xml:space="preserve">, 2024 </w:t>
            </w:r>
            <w:r w:rsidRPr="00E22005">
              <w:rPr>
                <w:rFonts w:ascii="Rockwell" w:hAnsi="Rockwell"/>
                <w:bCs/>
                <w:sz w:val="16"/>
                <w:szCs w:val="16"/>
              </w:rPr>
              <w:t xml:space="preserve">at </w:t>
            </w:r>
            <w:r w:rsidRPr="00E22005">
              <w:rPr>
                <w:rFonts w:ascii="Rockwell" w:hAnsi="Rockwell"/>
                <w:b/>
                <w:bCs/>
                <w:sz w:val="16"/>
                <w:szCs w:val="16"/>
              </w:rPr>
              <w:t>11:00 am</w:t>
            </w:r>
            <w:r w:rsidRPr="00E22005">
              <w:rPr>
                <w:rFonts w:ascii="Rockwell" w:hAnsi="Rockwell"/>
                <w:bCs/>
                <w:sz w:val="16"/>
                <w:szCs w:val="16"/>
              </w:rPr>
              <w:t xml:space="preserve">. Bids will be opened the same date at </w:t>
            </w:r>
            <w:r w:rsidRPr="00E22005">
              <w:rPr>
                <w:rFonts w:ascii="Rockwell" w:hAnsi="Rockwell"/>
                <w:b/>
                <w:bCs/>
                <w:sz w:val="16"/>
                <w:szCs w:val="16"/>
              </w:rPr>
              <w:t>11:30 am.</w:t>
            </w:r>
            <w:r w:rsidRPr="00E22005">
              <w:rPr>
                <w:rFonts w:ascii="Rockwell" w:hAnsi="Rockwell"/>
                <w:bCs/>
                <w:sz w:val="16"/>
                <w:szCs w:val="16"/>
              </w:rPr>
              <w:t xml:space="preserve"> This advertisement is also available on PPRA website at </w:t>
            </w:r>
            <w:hyperlink r:id="rId9" w:history="1">
              <w:r w:rsidRPr="00E22005">
                <w:rPr>
                  <w:rStyle w:val="Hyperlink"/>
                  <w:rFonts w:ascii="Rockwell" w:hAnsi="Rockwell"/>
                  <w:bCs/>
                  <w:sz w:val="16"/>
                  <w:szCs w:val="16"/>
                </w:rPr>
                <w:t>www.ppra.org.pk</w:t>
              </w:r>
            </w:hyperlink>
            <w:r w:rsidRPr="00E22005">
              <w:rPr>
                <w:rFonts w:ascii="Rockwell" w:hAnsi="Rockwell"/>
                <w:bCs/>
                <w:sz w:val="16"/>
                <w:szCs w:val="16"/>
              </w:rPr>
              <w:t xml:space="preserve">. </w:t>
            </w:r>
          </w:p>
          <w:p w:rsidR="007043CE" w:rsidRPr="007043CE" w:rsidRDefault="007043CE" w:rsidP="007043CE">
            <w:pPr>
              <w:pStyle w:val="ListParagraph"/>
              <w:rPr>
                <w:rFonts w:ascii="Rockwell" w:hAnsi="Rockwell"/>
                <w:sz w:val="16"/>
                <w:szCs w:val="16"/>
                <w:lang w:val="en-GB"/>
              </w:rPr>
            </w:pPr>
          </w:p>
          <w:p w:rsidR="007043CE" w:rsidRPr="005768E9" w:rsidRDefault="00553D84" w:rsidP="0033304C">
            <w:pPr>
              <w:pStyle w:val="ListParagraph"/>
              <w:numPr>
                <w:ilvl w:val="0"/>
                <w:numId w:val="1"/>
              </w:numPr>
              <w:ind w:left="180" w:hanging="180"/>
              <w:jc w:val="both"/>
              <w:rPr>
                <w:rFonts w:ascii="Rockwell" w:hAnsi="Rockwell"/>
                <w:b/>
                <w:sz w:val="16"/>
                <w:szCs w:val="16"/>
                <w:lang w:val="en-GB"/>
              </w:rPr>
            </w:pPr>
            <w:r>
              <w:rPr>
                <w:rFonts w:ascii="Rockwell" w:hAnsi="Rockwell"/>
                <w:b/>
                <w:sz w:val="16"/>
                <w:szCs w:val="16"/>
              </w:rPr>
              <w:t xml:space="preserve">Participating </w:t>
            </w:r>
            <w:r w:rsidRPr="005768E9">
              <w:rPr>
                <w:rFonts w:ascii="Rockwell" w:hAnsi="Rockwell"/>
                <w:b/>
                <w:sz w:val="16"/>
                <w:szCs w:val="16"/>
              </w:rPr>
              <w:t xml:space="preserve">firms are directed to submit their bids </w:t>
            </w:r>
            <w:r>
              <w:rPr>
                <w:rFonts w:ascii="Rockwell" w:hAnsi="Rockwell"/>
                <w:b/>
                <w:sz w:val="16"/>
                <w:szCs w:val="16"/>
              </w:rPr>
              <w:t>in accordance with                   E-</w:t>
            </w:r>
            <w:r w:rsidRPr="005768E9">
              <w:rPr>
                <w:rFonts w:ascii="Rockwell" w:hAnsi="Rockwell"/>
                <w:b/>
                <w:sz w:val="16"/>
                <w:szCs w:val="16"/>
              </w:rPr>
              <w:t>PADS</w:t>
            </w:r>
            <w:r>
              <w:rPr>
                <w:rFonts w:ascii="Rockwell" w:hAnsi="Rockwell"/>
                <w:b/>
                <w:sz w:val="16"/>
                <w:szCs w:val="16"/>
              </w:rPr>
              <w:t xml:space="preserve"> directives and hard copy </w:t>
            </w:r>
            <w:r w:rsidR="00606D91">
              <w:rPr>
                <w:rFonts w:ascii="Rockwell" w:hAnsi="Rockwell"/>
                <w:b/>
                <w:sz w:val="16"/>
                <w:szCs w:val="16"/>
              </w:rPr>
              <w:t xml:space="preserve">of the same </w:t>
            </w:r>
            <w:r>
              <w:rPr>
                <w:rFonts w:ascii="Rockwell" w:hAnsi="Rockwell"/>
                <w:b/>
                <w:sz w:val="16"/>
                <w:szCs w:val="16"/>
              </w:rPr>
              <w:t>in Procurement Section</w:t>
            </w:r>
            <w:r w:rsidR="00606D91">
              <w:rPr>
                <w:rFonts w:ascii="Rockwell" w:hAnsi="Rockwell"/>
                <w:b/>
                <w:sz w:val="16"/>
                <w:szCs w:val="16"/>
              </w:rPr>
              <w:t>, o</w:t>
            </w:r>
            <w:r>
              <w:rPr>
                <w:rFonts w:ascii="Rockwell" w:hAnsi="Rockwell"/>
                <w:b/>
                <w:sz w:val="16"/>
                <w:szCs w:val="16"/>
              </w:rPr>
              <w:t xml:space="preserve">therwise </w:t>
            </w:r>
            <w:r w:rsidRPr="005768E9">
              <w:rPr>
                <w:rFonts w:ascii="Rockwell" w:hAnsi="Rockwell"/>
                <w:b/>
                <w:sz w:val="16"/>
                <w:szCs w:val="16"/>
              </w:rPr>
              <w:t>bid</w:t>
            </w:r>
            <w:r>
              <w:rPr>
                <w:rFonts w:ascii="Rockwell" w:hAnsi="Rockwell"/>
                <w:b/>
                <w:sz w:val="16"/>
                <w:szCs w:val="16"/>
              </w:rPr>
              <w:t>s</w:t>
            </w:r>
            <w:r w:rsidRPr="005768E9">
              <w:rPr>
                <w:rFonts w:ascii="Rockwell" w:hAnsi="Rockwell"/>
                <w:b/>
                <w:sz w:val="16"/>
                <w:szCs w:val="16"/>
              </w:rPr>
              <w:t xml:space="preserve"> will not be entertained</w:t>
            </w:r>
            <w:r w:rsidR="007043CE" w:rsidRPr="005768E9">
              <w:rPr>
                <w:rFonts w:ascii="Rockwell" w:hAnsi="Rockwell"/>
                <w:b/>
                <w:sz w:val="16"/>
                <w:szCs w:val="16"/>
              </w:rPr>
              <w:t xml:space="preserve">. </w:t>
            </w:r>
          </w:p>
          <w:p w:rsidR="0033304C" w:rsidRDefault="0033304C" w:rsidP="006C01C9">
            <w:pPr>
              <w:jc w:val="both"/>
              <w:rPr>
                <w:rFonts w:ascii="Rockwell" w:hAnsi="Rockwell"/>
                <w:bCs/>
                <w:sz w:val="16"/>
                <w:szCs w:val="16"/>
              </w:rPr>
            </w:pPr>
          </w:p>
          <w:p w:rsidR="0033304C" w:rsidRPr="00E22005" w:rsidRDefault="0033304C" w:rsidP="0027792A">
            <w:pPr>
              <w:spacing w:before="240"/>
              <w:jc w:val="center"/>
              <w:rPr>
                <w:rFonts w:ascii="Rockwell" w:hAnsi="Rockwell"/>
                <w:b/>
                <w:sz w:val="16"/>
                <w:szCs w:val="16"/>
              </w:rPr>
            </w:pPr>
            <w:r w:rsidRPr="00E22005">
              <w:rPr>
                <w:rFonts w:ascii="Rockwell" w:hAnsi="Rockwell"/>
                <w:b/>
                <w:sz w:val="16"/>
                <w:szCs w:val="16"/>
              </w:rPr>
              <w:t xml:space="preserve">DEPUTY DIRECTOR PROCUREMENT  </w:t>
            </w:r>
          </w:p>
        </w:tc>
      </w:tr>
      <w:tr w:rsidR="0033304C" w:rsidTr="00BE2DB1">
        <w:trPr>
          <w:trHeight w:val="707"/>
        </w:trPr>
        <w:tc>
          <w:tcPr>
            <w:tcW w:w="6588" w:type="dxa"/>
          </w:tcPr>
          <w:p w:rsidR="0033304C" w:rsidRPr="00E22005" w:rsidRDefault="0033304C" w:rsidP="006C01C9">
            <w:pPr>
              <w:jc w:val="center"/>
              <w:rPr>
                <w:rFonts w:ascii="Rockwell" w:hAnsi="Rockwell"/>
                <w:b/>
                <w:noProof/>
                <w:sz w:val="16"/>
                <w:szCs w:val="16"/>
              </w:rPr>
            </w:pPr>
            <w:r w:rsidRPr="00E22005">
              <w:rPr>
                <w:rFonts w:ascii="Rockwell" w:hAnsi="Rockwell"/>
                <w:b/>
                <w:noProof/>
                <w:sz w:val="16"/>
                <w:szCs w:val="16"/>
              </w:rPr>
              <w:t xml:space="preserve">Plot #17, Sector H-9/1, Islamabad </w:t>
            </w:r>
          </w:p>
          <w:p w:rsidR="0033304C" w:rsidRPr="00E22005" w:rsidRDefault="0033304C" w:rsidP="006C01C9">
            <w:pPr>
              <w:jc w:val="center"/>
              <w:rPr>
                <w:rFonts w:ascii="Rockwell" w:hAnsi="Rockwell"/>
                <w:b/>
                <w:noProof/>
                <w:sz w:val="16"/>
                <w:szCs w:val="16"/>
              </w:rPr>
            </w:pPr>
            <w:r w:rsidRPr="00E22005">
              <w:rPr>
                <w:rFonts w:ascii="Rockwell" w:hAnsi="Rockwell"/>
                <w:b/>
                <w:noProof/>
                <w:sz w:val="16"/>
                <w:szCs w:val="16"/>
              </w:rPr>
              <w:t>Phone: 92-051-9265009-13, Fax: 92-051-92650</w:t>
            </w:r>
            <w:r w:rsidR="009019A2">
              <w:rPr>
                <w:rFonts w:ascii="Rockwell" w:hAnsi="Rockwell"/>
                <w:b/>
                <w:noProof/>
                <w:sz w:val="16"/>
                <w:szCs w:val="16"/>
              </w:rPr>
              <w:t>18</w:t>
            </w:r>
            <w:r w:rsidRPr="00E22005">
              <w:rPr>
                <w:rFonts w:ascii="Rockwell" w:hAnsi="Rockwell"/>
                <w:b/>
                <w:noProof/>
                <w:sz w:val="16"/>
                <w:szCs w:val="16"/>
              </w:rPr>
              <w:t xml:space="preserve"> </w:t>
            </w:r>
          </w:p>
          <w:p w:rsidR="0033304C" w:rsidRPr="00E22005" w:rsidRDefault="0033304C" w:rsidP="006C01C9">
            <w:pPr>
              <w:jc w:val="center"/>
              <w:rPr>
                <w:rFonts w:ascii="Rockwell" w:hAnsi="Rockwell"/>
                <w:b/>
                <w:noProof/>
                <w:sz w:val="16"/>
                <w:szCs w:val="16"/>
              </w:rPr>
            </w:pPr>
            <w:r w:rsidRPr="00E22005">
              <w:rPr>
                <w:rFonts w:ascii="Rockwell" w:hAnsi="Rockwell"/>
                <w:b/>
                <w:noProof/>
                <w:sz w:val="16"/>
                <w:szCs w:val="16"/>
              </w:rPr>
              <w:t xml:space="preserve">Web: </w:t>
            </w:r>
            <w:hyperlink r:id="rId10" w:history="1">
              <w:r w:rsidRPr="00E22005">
                <w:rPr>
                  <w:rStyle w:val="Hyperlink"/>
                  <w:rFonts w:ascii="Rockwell" w:hAnsi="Rockwell"/>
                  <w:b/>
                  <w:noProof/>
                  <w:sz w:val="16"/>
                  <w:szCs w:val="16"/>
                </w:rPr>
                <w:t>www.nie.gov.pk</w:t>
              </w:r>
            </w:hyperlink>
            <w:r w:rsidRPr="00E22005">
              <w:rPr>
                <w:rFonts w:ascii="Rockwell" w:hAnsi="Rockwell"/>
                <w:b/>
                <w:noProof/>
                <w:sz w:val="16"/>
                <w:szCs w:val="16"/>
                <w:u w:val="single"/>
              </w:rPr>
              <w:t xml:space="preserve"> </w:t>
            </w:r>
          </w:p>
        </w:tc>
      </w:tr>
    </w:tbl>
    <w:p w:rsidR="0033304C" w:rsidRDefault="0033304C" w:rsidP="004B6FF8"/>
    <w:sectPr w:rsidR="0033304C" w:rsidSect="009F7AF7">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31222"/>
    <w:multiLevelType w:val="hybridMultilevel"/>
    <w:tmpl w:val="05EA2166"/>
    <w:lvl w:ilvl="0" w:tplc="A588E6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04C"/>
    <w:rsid w:val="0000718B"/>
    <w:rsid w:val="00033F3E"/>
    <w:rsid w:val="000343F0"/>
    <w:rsid w:val="00054685"/>
    <w:rsid w:val="00062029"/>
    <w:rsid w:val="000A17DE"/>
    <w:rsid w:val="000B686D"/>
    <w:rsid w:val="000D60C2"/>
    <w:rsid w:val="000E794F"/>
    <w:rsid w:val="0010644B"/>
    <w:rsid w:val="0011598B"/>
    <w:rsid w:val="00120404"/>
    <w:rsid w:val="0016558F"/>
    <w:rsid w:val="00171504"/>
    <w:rsid w:val="00186E2C"/>
    <w:rsid w:val="001907AC"/>
    <w:rsid w:val="00196838"/>
    <w:rsid w:val="001A1F09"/>
    <w:rsid w:val="001A372A"/>
    <w:rsid w:val="001D1133"/>
    <w:rsid w:val="001F5954"/>
    <w:rsid w:val="001F6DBF"/>
    <w:rsid w:val="0020656A"/>
    <w:rsid w:val="00213B5E"/>
    <w:rsid w:val="00224E9F"/>
    <w:rsid w:val="00247810"/>
    <w:rsid w:val="002556A2"/>
    <w:rsid w:val="00255926"/>
    <w:rsid w:val="002657DE"/>
    <w:rsid w:val="00272374"/>
    <w:rsid w:val="0027792A"/>
    <w:rsid w:val="002F4662"/>
    <w:rsid w:val="003012FC"/>
    <w:rsid w:val="00303121"/>
    <w:rsid w:val="0033304C"/>
    <w:rsid w:val="0034230B"/>
    <w:rsid w:val="00392E56"/>
    <w:rsid w:val="003A0F06"/>
    <w:rsid w:val="003D3C0F"/>
    <w:rsid w:val="003D59E7"/>
    <w:rsid w:val="003E17B9"/>
    <w:rsid w:val="003F78BD"/>
    <w:rsid w:val="00432BBE"/>
    <w:rsid w:val="00435855"/>
    <w:rsid w:val="004608AA"/>
    <w:rsid w:val="00463881"/>
    <w:rsid w:val="00483D02"/>
    <w:rsid w:val="00487AA4"/>
    <w:rsid w:val="004B6FF8"/>
    <w:rsid w:val="004C1FC6"/>
    <w:rsid w:val="004C4DEC"/>
    <w:rsid w:val="004F09AA"/>
    <w:rsid w:val="00553D84"/>
    <w:rsid w:val="005636F7"/>
    <w:rsid w:val="00571181"/>
    <w:rsid w:val="005768E9"/>
    <w:rsid w:val="00582E13"/>
    <w:rsid w:val="00596253"/>
    <w:rsid w:val="005B4408"/>
    <w:rsid w:val="005C10E3"/>
    <w:rsid w:val="005C13C0"/>
    <w:rsid w:val="005D5979"/>
    <w:rsid w:val="005F138E"/>
    <w:rsid w:val="005F7FA3"/>
    <w:rsid w:val="00604F0E"/>
    <w:rsid w:val="00604FD1"/>
    <w:rsid w:val="00606D91"/>
    <w:rsid w:val="00657E6A"/>
    <w:rsid w:val="00667BA0"/>
    <w:rsid w:val="00693DF7"/>
    <w:rsid w:val="006951E0"/>
    <w:rsid w:val="006A3DE8"/>
    <w:rsid w:val="006A4840"/>
    <w:rsid w:val="006A5D3D"/>
    <w:rsid w:val="006B1293"/>
    <w:rsid w:val="006C01C9"/>
    <w:rsid w:val="006D46E5"/>
    <w:rsid w:val="007043CE"/>
    <w:rsid w:val="0071306D"/>
    <w:rsid w:val="00727966"/>
    <w:rsid w:val="0073013D"/>
    <w:rsid w:val="00754657"/>
    <w:rsid w:val="00785FCD"/>
    <w:rsid w:val="00791AB5"/>
    <w:rsid w:val="0079232D"/>
    <w:rsid w:val="007C77FF"/>
    <w:rsid w:val="007E14A3"/>
    <w:rsid w:val="007E23CA"/>
    <w:rsid w:val="007E46A9"/>
    <w:rsid w:val="007F67E6"/>
    <w:rsid w:val="007F7D59"/>
    <w:rsid w:val="00801202"/>
    <w:rsid w:val="008109C5"/>
    <w:rsid w:val="00856461"/>
    <w:rsid w:val="008D2827"/>
    <w:rsid w:val="008D6F38"/>
    <w:rsid w:val="008E05F7"/>
    <w:rsid w:val="009019A2"/>
    <w:rsid w:val="00920F90"/>
    <w:rsid w:val="009448C5"/>
    <w:rsid w:val="0097267B"/>
    <w:rsid w:val="00983630"/>
    <w:rsid w:val="0098490C"/>
    <w:rsid w:val="009D4EF9"/>
    <w:rsid w:val="009E574E"/>
    <w:rsid w:val="009F01C7"/>
    <w:rsid w:val="009F2219"/>
    <w:rsid w:val="009F7AF7"/>
    <w:rsid w:val="00A12B70"/>
    <w:rsid w:val="00A26247"/>
    <w:rsid w:val="00A7667C"/>
    <w:rsid w:val="00A84512"/>
    <w:rsid w:val="00A965BA"/>
    <w:rsid w:val="00AA75C7"/>
    <w:rsid w:val="00AB35FC"/>
    <w:rsid w:val="00AD5494"/>
    <w:rsid w:val="00AE4519"/>
    <w:rsid w:val="00AE5E4B"/>
    <w:rsid w:val="00AF5D81"/>
    <w:rsid w:val="00B154F0"/>
    <w:rsid w:val="00B66754"/>
    <w:rsid w:val="00B74EE9"/>
    <w:rsid w:val="00B943EC"/>
    <w:rsid w:val="00B9575E"/>
    <w:rsid w:val="00BA5092"/>
    <w:rsid w:val="00BB4C5D"/>
    <w:rsid w:val="00BD71C8"/>
    <w:rsid w:val="00BE2DB1"/>
    <w:rsid w:val="00BE762C"/>
    <w:rsid w:val="00C317BC"/>
    <w:rsid w:val="00C452FF"/>
    <w:rsid w:val="00C506E1"/>
    <w:rsid w:val="00C87585"/>
    <w:rsid w:val="00C94837"/>
    <w:rsid w:val="00CA3F02"/>
    <w:rsid w:val="00CC24F4"/>
    <w:rsid w:val="00CC695F"/>
    <w:rsid w:val="00CC6E02"/>
    <w:rsid w:val="00CE1BF7"/>
    <w:rsid w:val="00D1235A"/>
    <w:rsid w:val="00D8335D"/>
    <w:rsid w:val="00D96854"/>
    <w:rsid w:val="00DA031A"/>
    <w:rsid w:val="00DA6EDE"/>
    <w:rsid w:val="00DA756B"/>
    <w:rsid w:val="00DC0B03"/>
    <w:rsid w:val="00DC1C91"/>
    <w:rsid w:val="00E03CD1"/>
    <w:rsid w:val="00E22005"/>
    <w:rsid w:val="00E34962"/>
    <w:rsid w:val="00E50B86"/>
    <w:rsid w:val="00E701E9"/>
    <w:rsid w:val="00E83847"/>
    <w:rsid w:val="00E90601"/>
    <w:rsid w:val="00E92F6D"/>
    <w:rsid w:val="00EB661B"/>
    <w:rsid w:val="00EC5BD1"/>
    <w:rsid w:val="00ED40F7"/>
    <w:rsid w:val="00EE2B48"/>
    <w:rsid w:val="00EF27EF"/>
    <w:rsid w:val="00F000A9"/>
    <w:rsid w:val="00F31D88"/>
    <w:rsid w:val="00F818B2"/>
    <w:rsid w:val="00FB1BAA"/>
    <w:rsid w:val="00FF2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4C"/>
    <w:rPr>
      <w:rFonts w:ascii="Calibri" w:eastAsia="Calibri" w:hAnsi="Calibri" w:cs="Times New Roman"/>
    </w:rPr>
  </w:style>
  <w:style w:type="paragraph" w:styleId="Heading2">
    <w:name w:val="heading 2"/>
    <w:basedOn w:val="Normal"/>
    <w:next w:val="Normal"/>
    <w:link w:val="Heading2Char"/>
    <w:uiPriority w:val="99"/>
    <w:qFormat/>
    <w:rsid w:val="0033304C"/>
    <w:pPr>
      <w:keepNext/>
      <w:spacing w:after="0" w:line="240" w:lineRule="auto"/>
      <w:jc w:val="center"/>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304C"/>
    <w:rPr>
      <w:rFonts w:ascii="Times New Roman" w:eastAsia="Times New Roman" w:hAnsi="Times New Roman" w:cs="Times New Roman"/>
      <w:b/>
      <w:bCs/>
      <w:sz w:val="28"/>
      <w:szCs w:val="28"/>
    </w:rPr>
  </w:style>
  <w:style w:type="table" w:styleId="TableGrid">
    <w:name w:val="Table Grid"/>
    <w:basedOn w:val="TableNormal"/>
    <w:uiPriority w:val="59"/>
    <w:rsid w:val="00333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304C"/>
    <w:pPr>
      <w:ind w:left="720"/>
      <w:contextualSpacing/>
    </w:pPr>
  </w:style>
  <w:style w:type="character" w:styleId="Hyperlink">
    <w:name w:val="Hyperlink"/>
    <w:basedOn w:val="DefaultParagraphFont"/>
    <w:uiPriority w:val="99"/>
    <w:unhideWhenUsed/>
    <w:rsid w:val="003330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91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gov.pk"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ie.gov.pk" TargetMode="External"/><Relationship Id="rId4" Type="http://schemas.openxmlformats.org/officeDocument/2006/relationships/webSettings" Target="webSettings.xml"/><Relationship Id="rId9" Type="http://schemas.openxmlformats.org/officeDocument/2006/relationships/hyperlink" Target="http://www.pp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382</Words>
  <Characters>1920</Characters>
  <Application>Microsoft Office Word</Application>
  <DocSecurity>0</DocSecurity>
  <Lines>83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Pc</cp:lastModifiedBy>
  <cp:revision>75</cp:revision>
  <cp:lastPrinted>2024-02-16T08:58:00Z</cp:lastPrinted>
  <dcterms:created xsi:type="dcterms:W3CDTF">2021-02-09T05:47:00Z</dcterms:created>
  <dcterms:modified xsi:type="dcterms:W3CDTF">2024-02-20T04:31:00Z</dcterms:modified>
</cp:coreProperties>
</file>